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49" w:rsidRDefault="00FE4849" w:rsidP="00E7487A">
      <w:pPr>
        <w:pStyle w:val="NormalWeb"/>
        <w:jc w:val="center"/>
        <w:rPr>
          <w:rStyle w:val="Strong"/>
          <w:color w:val="000000"/>
          <w:sz w:val="27"/>
          <w:szCs w:val="27"/>
        </w:rPr>
      </w:pPr>
    </w:p>
    <w:p w:rsidR="00E7487A" w:rsidRPr="00FE4849" w:rsidRDefault="00E7487A" w:rsidP="00E7487A">
      <w:pPr>
        <w:pStyle w:val="NormalWeb"/>
        <w:jc w:val="center"/>
        <w:rPr>
          <w:rFonts w:asciiTheme="minorHAnsi" w:hAnsiTheme="minorHAnsi"/>
          <w:color w:val="000000"/>
          <w:sz w:val="27"/>
          <w:szCs w:val="27"/>
        </w:rPr>
      </w:pPr>
      <w:r w:rsidRPr="00FE4849">
        <w:rPr>
          <w:rStyle w:val="Strong"/>
          <w:rFonts w:asciiTheme="minorHAnsi" w:hAnsiTheme="minorHAnsi"/>
          <w:color w:val="000000"/>
          <w:sz w:val="27"/>
          <w:szCs w:val="27"/>
        </w:rPr>
        <w:t>ARBITRATION AGREEMENT AMONG MEMBERS OF H.U.F.</w:t>
      </w:r>
    </w:p>
    <w:p w:rsidR="00E7487A" w:rsidRPr="00FE4849" w:rsidRDefault="00E7487A" w:rsidP="00E7487A">
      <w:pPr>
        <w:pStyle w:val="NormalWeb"/>
        <w:rPr>
          <w:rFonts w:asciiTheme="minorHAnsi" w:hAnsiTheme="minorHAnsi"/>
          <w:color w:val="000000"/>
          <w:sz w:val="27"/>
          <w:szCs w:val="27"/>
        </w:rPr>
      </w:pPr>
      <w:r w:rsidRPr="00FE4849">
        <w:rPr>
          <w:rFonts w:asciiTheme="minorHAnsi" w:hAnsiTheme="minorHAnsi"/>
          <w:color w:val="000000"/>
          <w:sz w:val="27"/>
          <w:szCs w:val="27"/>
        </w:rPr>
        <w:t> </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EC7186">
        <w:rPr>
          <w:rFonts w:cstheme="minorHAnsi"/>
          <w:b/>
          <w:bCs/>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bookmarkStart w:id="0" w:name="_GoBack"/>
      <w:bookmarkEnd w:id="0"/>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desires to </w:t>
      </w:r>
      <w:r w:rsidR="000D0C00" w:rsidRPr="00EC7186">
        <w:rPr>
          <w:rFonts w:cstheme="minorHAnsi"/>
          <w:sz w:val="24"/>
          <w:szCs w:val="22"/>
          <w:lang w:val="en-IN"/>
        </w:rPr>
        <w:t xml:space="preserve">partner with the </w:t>
      </w:r>
      <w:r w:rsidR="008E2BCE" w:rsidRPr="00EC7186">
        <w:rPr>
          <w:rFonts w:cstheme="minorHAnsi"/>
          <w:sz w:val="24"/>
          <w:szCs w:val="22"/>
          <w:lang w:val="en-IN"/>
        </w:rPr>
        <w:t xml:space="preserve">Travel Agency </w:t>
      </w:r>
      <w:r w:rsidRPr="00EC7186">
        <w:rPr>
          <w:rFonts w:cstheme="minorHAnsi"/>
          <w:sz w:val="24"/>
          <w:szCs w:val="22"/>
          <w:lang w:val="en-IN"/>
        </w:rPr>
        <w:t>for business development activities and marketing of the Hotel; and</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lastRenderedPageBreak/>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lastRenderedPageBreak/>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use its best efforts to make available to the </w:t>
      </w:r>
      <w:r w:rsidR="00275AC5" w:rsidRPr="00EC7186">
        <w:rPr>
          <w:rFonts w:cstheme="minorHAnsi"/>
          <w:sz w:val="24"/>
          <w:szCs w:val="24"/>
          <w:lang w:val="en-IN"/>
        </w:rPr>
        <w:t>Travel Agency</w:t>
      </w:r>
      <w:r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Pr="00EC7186">
        <w:rPr>
          <w:rFonts w:cstheme="minorHAnsi"/>
          <w:sz w:val="24"/>
          <w:szCs w:val="22"/>
          <w:lang w:val="en-IN"/>
        </w:rPr>
        <w:t>’s travel policies in effect from time to time;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use its best efforts to ensure that third party providers of hotel</w:t>
      </w:r>
      <w:r w:rsidR="00275AC5" w:rsidRPr="00EC7186">
        <w:rPr>
          <w:rFonts w:cstheme="minorHAnsi"/>
          <w:sz w:val="24"/>
          <w:szCs w:val="22"/>
          <w:lang w:val="en-IN"/>
        </w:rPr>
        <w:t xml:space="preserve"> services</w:t>
      </w:r>
      <w:r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Pr="00EC7186">
        <w:rPr>
          <w:rFonts w:cstheme="minorHAnsi"/>
          <w:sz w:val="24"/>
          <w:szCs w:val="22"/>
          <w:lang w:val="en-IN"/>
        </w:rPr>
        <w:t>hereunder, are solvent and provide high quality services;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monitor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instruct all of its employees to use </w:t>
      </w:r>
      <w:r w:rsidR="00275AC5" w:rsidRPr="00EC7186">
        <w:rPr>
          <w:rFonts w:cstheme="minorHAnsi"/>
          <w:sz w:val="24"/>
          <w:szCs w:val="22"/>
          <w:lang w:val="en-IN"/>
        </w:rPr>
        <w:t>the Company</w:t>
      </w:r>
      <w:r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Pr="00EC7186">
        <w:rPr>
          <w:rFonts w:cstheme="minorHAnsi"/>
          <w:sz w:val="24"/>
          <w:szCs w:val="22"/>
          <w:lang w:val="en-IN"/>
        </w:rPr>
        <w:t xml:space="preserve"> is unable or unwilling to provide the Services at or below competitive rates;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maintain and communicate a written travel policy to be used by (i) all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Pr="00EC7186">
        <w:rPr>
          <w:rFonts w:cstheme="minorHAnsi"/>
          <w:sz w:val="24"/>
          <w:szCs w:val="22"/>
          <w:lang w:val="en-IN"/>
        </w:rPr>
        <w:t>personnel when booking travel arrangements for the Clients employees;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consider efficient technologies made available by or through </w:t>
      </w:r>
      <w:r w:rsidR="00275AC5" w:rsidRPr="00EC7186">
        <w:rPr>
          <w:rFonts w:cstheme="minorHAnsi"/>
          <w:sz w:val="24"/>
          <w:szCs w:val="22"/>
          <w:lang w:val="en-IN"/>
        </w:rPr>
        <w:t>Company</w:t>
      </w:r>
      <w:r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lastRenderedPageBreak/>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 disclose any Confidential Information to any person except to its employees or authorized agents who have a "need to know" to enable the Party to fulfill its obligations hereunder, except with the other Party’s specific prior written authorization;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lastRenderedPageBreak/>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or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willful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The Travel Agency agrees to defend, indemnify, and hold harmless the Company from and against any all third party claims (or other actions that could lead to losses by the Company) that are based upon the Travel Agencys (a)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Where personal service is made or where delivery is made by facsimile and a receipt thereof has been retained, any notice provided for or permitted in this Agreement will be deemed to have been given when received by the </w:t>
      </w:r>
      <w:r w:rsidRPr="00EC7186">
        <w:rPr>
          <w:rFonts w:cstheme="minorHAnsi"/>
          <w:sz w:val="24"/>
          <w:szCs w:val="22"/>
          <w:lang w:val="en-IN"/>
        </w:rPr>
        <w:lastRenderedPageBreak/>
        <w:t>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w:t>
      </w:r>
      <w:r w:rsidRPr="00EC7186">
        <w:rPr>
          <w:rFonts w:cstheme="minorHAnsi"/>
          <w:sz w:val="24"/>
          <w:szCs w:val="22"/>
          <w:lang w:val="en-IN"/>
        </w:rPr>
        <w:lastRenderedPageBreak/>
        <w:t xml:space="preserve">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hereto constitutes the entire agreement and understanding between the parties relating to the subject matter hereof, and supersedes all other agreements, oral or written, made between the parties with respect to </w:t>
      </w:r>
      <w:r w:rsidRPr="00EC7186">
        <w:rPr>
          <w:rFonts w:cstheme="minorHAnsi"/>
          <w:sz w:val="24"/>
          <w:szCs w:val="22"/>
          <w:lang w:val="en-IN"/>
        </w:rPr>
        <w:lastRenderedPageBreak/>
        <w:t>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42" w:rsidRDefault="00B57A42" w:rsidP="000D0C00">
      <w:pPr>
        <w:spacing w:after="0" w:line="240" w:lineRule="auto"/>
      </w:pPr>
      <w:r>
        <w:separator/>
      </w:r>
    </w:p>
  </w:endnote>
  <w:endnote w:type="continuationSeparator" w:id="0">
    <w:p w:rsidR="00B57A42" w:rsidRDefault="00B57A4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5510D6">
              <w:rPr>
                <w:b/>
                <w:sz w:val="24"/>
                <w:szCs w:val="24"/>
              </w:rPr>
              <w:fldChar w:fldCharType="begin"/>
            </w:r>
            <w:r>
              <w:rPr>
                <w:b/>
              </w:rPr>
              <w:instrText xml:space="preserve"> PAGE </w:instrText>
            </w:r>
            <w:r w:rsidR="005510D6">
              <w:rPr>
                <w:b/>
                <w:sz w:val="24"/>
                <w:szCs w:val="24"/>
              </w:rPr>
              <w:fldChar w:fldCharType="separate"/>
            </w:r>
            <w:r w:rsidR="00FE4849">
              <w:rPr>
                <w:b/>
                <w:noProof/>
              </w:rPr>
              <w:t>1</w:t>
            </w:r>
            <w:r w:rsidR="005510D6">
              <w:rPr>
                <w:b/>
                <w:sz w:val="24"/>
                <w:szCs w:val="24"/>
              </w:rPr>
              <w:fldChar w:fldCharType="end"/>
            </w:r>
            <w:r>
              <w:t xml:space="preserve"> of </w:t>
            </w:r>
            <w:r w:rsidR="005510D6">
              <w:rPr>
                <w:b/>
                <w:sz w:val="24"/>
                <w:szCs w:val="24"/>
              </w:rPr>
              <w:fldChar w:fldCharType="begin"/>
            </w:r>
            <w:r>
              <w:rPr>
                <w:b/>
              </w:rPr>
              <w:instrText xml:space="preserve"> NUMPAGES  </w:instrText>
            </w:r>
            <w:r w:rsidR="005510D6">
              <w:rPr>
                <w:b/>
                <w:sz w:val="24"/>
                <w:szCs w:val="24"/>
              </w:rPr>
              <w:fldChar w:fldCharType="separate"/>
            </w:r>
            <w:r w:rsidR="00FE4849">
              <w:rPr>
                <w:b/>
                <w:noProof/>
              </w:rPr>
              <w:t>14</w:t>
            </w:r>
            <w:r w:rsidR="005510D6">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42" w:rsidRDefault="00B57A42" w:rsidP="000D0C00">
      <w:pPr>
        <w:spacing w:after="0" w:line="240" w:lineRule="auto"/>
      </w:pPr>
      <w:r>
        <w:separator/>
      </w:r>
    </w:p>
  </w:footnote>
  <w:footnote w:type="continuationSeparator" w:id="0">
    <w:p w:rsidR="00B57A42" w:rsidRDefault="00B57A42"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510D6"/>
    <w:rsid w:val="005B2F67"/>
    <w:rsid w:val="005F5A6D"/>
    <w:rsid w:val="0063564F"/>
    <w:rsid w:val="006E0B21"/>
    <w:rsid w:val="006F4512"/>
    <w:rsid w:val="007075C5"/>
    <w:rsid w:val="007817A0"/>
    <w:rsid w:val="00787813"/>
    <w:rsid w:val="007A3ED6"/>
    <w:rsid w:val="007E3E0D"/>
    <w:rsid w:val="008E2BCE"/>
    <w:rsid w:val="0097520C"/>
    <w:rsid w:val="00A429D2"/>
    <w:rsid w:val="00AF6222"/>
    <w:rsid w:val="00B331D1"/>
    <w:rsid w:val="00B57A42"/>
    <w:rsid w:val="00B60FAF"/>
    <w:rsid w:val="00CB53C9"/>
    <w:rsid w:val="00CE04A0"/>
    <w:rsid w:val="00D2331A"/>
    <w:rsid w:val="00D84092"/>
    <w:rsid w:val="00E66E0F"/>
    <w:rsid w:val="00E7487A"/>
    <w:rsid w:val="00EC7186"/>
    <w:rsid w:val="00EE521D"/>
    <w:rsid w:val="00F74EDF"/>
    <w:rsid w:val="00F91B45"/>
    <w:rsid w:val="00FE48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610A"/>
  <w15:docId w15:val="{53FEF9BF-759A-4AC0-86A5-5053BF3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4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1916428">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14</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5</cp:revision>
  <dcterms:created xsi:type="dcterms:W3CDTF">2019-10-19T03:07:00Z</dcterms:created>
  <dcterms:modified xsi:type="dcterms:W3CDTF">2022-03-10T07:27:00Z</dcterms:modified>
</cp:coreProperties>
</file>